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9613F" w14:textId="59E47735" w:rsidR="009021D3" w:rsidRDefault="009021D3" w:rsidP="009021D3">
      <w:pPr>
        <w:rPr>
          <w:rFonts w:eastAsia="Times New Roman"/>
          <w:sz w:val="22"/>
          <w:szCs w:val="22"/>
        </w:rPr>
      </w:pPr>
      <w:r>
        <w:rPr>
          <w:rFonts w:eastAsia="Times New Roman"/>
          <w:sz w:val="22"/>
          <w:szCs w:val="22"/>
        </w:rPr>
        <w:t>This is the most recent set of guidelines taken for the attached article:</w:t>
      </w:r>
      <w:r>
        <w:rPr>
          <w:rFonts w:eastAsia="Times New Roman"/>
          <w:sz w:val="22"/>
          <w:szCs w:val="22"/>
        </w:rPr>
        <w:t xml:space="preserve"> </w:t>
      </w:r>
      <w:hyperlink r:id="rId8" w:history="1">
        <w:r>
          <w:rPr>
            <w:rStyle w:val="Hyperlink"/>
            <w:rFonts w:eastAsia="Times New Roman"/>
            <w:sz w:val="22"/>
            <w:szCs w:val="22"/>
          </w:rPr>
          <w:t>https://www.sciencedirect.com/scienc</w:t>
        </w:r>
        <w:r>
          <w:rPr>
            <w:rStyle w:val="Hyperlink"/>
            <w:rFonts w:eastAsia="Times New Roman"/>
            <w:sz w:val="22"/>
            <w:szCs w:val="22"/>
          </w:rPr>
          <w:t>e</w:t>
        </w:r>
        <w:r>
          <w:rPr>
            <w:rStyle w:val="Hyperlink"/>
            <w:rFonts w:eastAsia="Times New Roman"/>
            <w:sz w:val="22"/>
            <w:szCs w:val="22"/>
          </w:rPr>
          <w:t>/article/pii/S000399931931305X</w:t>
        </w:r>
      </w:hyperlink>
    </w:p>
    <w:p w14:paraId="3A95A99F" w14:textId="77777777" w:rsidR="009021D3" w:rsidRDefault="009021D3" w:rsidP="009021D3">
      <w:pPr>
        <w:rPr>
          <w:rFonts w:eastAsia="Times New Roman"/>
          <w:sz w:val="22"/>
          <w:szCs w:val="22"/>
        </w:rPr>
      </w:pPr>
    </w:p>
    <w:p w14:paraId="0666147D" w14:textId="77777777" w:rsidR="009021D3" w:rsidRPr="009021D3" w:rsidRDefault="009021D3" w:rsidP="009021D3">
      <w:pPr>
        <w:rPr>
          <w:rFonts w:eastAsia="Times New Roman"/>
          <w:sz w:val="22"/>
          <w:szCs w:val="22"/>
          <w:u w:val="single"/>
        </w:rPr>
      </w:pPr>
      <w:r w:rsidRPr="009021D3">
        <w:rPr>
          <w:rFonts w:eastAsia="Times New Roman"/>
          <w:sz w:val="22"/>
          <w:szCs w:val="22"/>
          <w:u w:val="single"/>
        </w:rPr>
        <w:t>Return to activity advice</w:t>
      </w:r>
      <w:r w:rsidRPr="009021D3">
        <w:rPr>
          <w:rFonts w:eastAsia="Times New Roman"/>
          <w:sz w:val="22"/>
          <w:szCs w:val="22"/>
          <w:u w:val="single"/>
        </w:rPr>
        <w:t>:</w:t>
      </w:r>
    </w:p>
    <w:p w14:paraId="3064FC5D" w14:textId="114DD734" w:rsidR="009021D3" w:rsidRPr="009021D3" w:rsidRDefault="009021D3" w:rsidP="009021D3">
      <w:pPr>
        <w:pStyle w:val="ListParagraph"/>
        <w:numPr>
          <w:ilvl w:val="0"/>
          <w:numId w:val="1"/>
        </w:numPr>
        <w:rPr>
          <w:rFonts w:eastAsia="Times New Roman"/>
          <w:sz w:val="22"/>
          <w:szCs w:val="22"/>
        </w:rPr>
      </w:pPr>
      <w:r w:rsidRPr="009021D3">
        <w:rPr>
          <w:rFonts w:eastAsia="Times New Roman"/>
          <w:sz w:val="22"/>
          <w:szCs w:val="22"/>
        </w:rPr>
        <w:t>Re</w:t>
      </w:r>
      <w:r w:rsidRPr="009021D3">
        <w:rPr>
          <w:rFonts w:eastAsia="Times New Roman"/>
          <w:sz w:val="22"/>
          <w:szCs w:val="22"/>
        </w:rPr>
        <w:t xml:space="preserve">lative rest for the first 24-48 hours after an </w:t>
      </w:r>
      <w:proofErr w:type="spellStart"/>
      <w:r w:rsidRPr="009021D3">
        <w:rPr>
          <w:rFonts w:eastAsia="Times New Roman"/>
          <w:sz w:val="22"/>
          <w:szCs w:val="22"/>
        </w:rPr>
        <w:t>mTBI</w:t>
      </w:r>
      <w:proofErr w:type="spellEnd"/>
      <w:r w:rsidRPr="009021D3">
        <w:rPr>
          <w:rFonts w:eastAsia="Times New Roman"/>
          <w:sz w:val="22"/>
          <w:szCs w:val="22"/>
        </w:rPr>
        <w:t xml:space="preserve"> is recommended; the goal is to alleviate symptoms and reduce metabolic demands on the brain</w:t>
      </w:r>
      <w:r w:rsidRPr="009021D3">
        <w:rPr>
          <w:rFonts w:eastAsia="Times New Roman"/>
          <w:sz w:val="22"/>
          <w:szCs w:val="22"/>
        </w:rPr>
        <w:t>.</w:t>
      </w:r>
    </w:p>
    <w:p w14:paraId="552E75B5" w14:textId="77777777" w:rsidR="009021D3" w:rsidRDefault="009021D3" w:rsidP="009021D3">
      <w:pPr>
        <w:ind w:firstLine="720"/>
        <w:rPr>
          <w:rFonts w:eastAsia="Times New Roman"/>
          <w:sz w:val="22"/>
          <w:szCs w:val="22"/>
        </w:rPr>
      </w:pPr>
    </w:p>
    <w:p w14:paraId="6120A363" w14:textId="57054BDD" w:rsidR="009021D3" w:rsidRPr="009021D3" w:rsidRDefault="009021D3" w:rsidP="009021D3">
      <w:pPr>
        <w:pStyle w:val="ListParagraph"/>
        <w:numPr>
          <w:ilvl w:val="0"/>
          <w:numId w:val="1"/>
        </w:numPr>
        <w:rPr>
          <w:rFonts w:eastAsia="Times New Roman"/>
          <w:sz w:val="22"/>
          <w:szCs w:val="22"/>
        </w:rPr>
      </w:pPr>
      <w:r w:rsidRPr="009021D3">
        <w:rPr>
          <w:rFonts w:eastAsia="Times New Roman"/>
          <w:sz w:val="22"/>
          <w:szCs w:val="22"/>
        </w:rPr>
        <w:t>Complete rest, such as lying in a dark room and avoiding all sensory stimuli (</w:t>
      </w:r>
      <w:hyperlink r:id="rId9" w:history="1">
        <w:r w:rsidRPr="009021D3">
          <w:rPr>
            <w:rStyle w:val="Hyperlink"/>
            <w:rFonts w:eastAsia="Times New Roman"/>
            <w:sz w:val="22"/>
            <w:szCs w:val="22"/>
          </w:rPr>
          <w:t>https://www.sciencedirect.com/topics/medicine-and-dentistry/sensory-stimulation</w:t>
        </w:r>
      </w:hyperlink>
      <w:r w:rsidRPr="009021D3">
        <w:rPr>
          <w:rFonts w:eastAsia="Times New Roman"/>
          <w:sz w:val="22"/>
          <w:szCs w:val="22"/>
        </w:rPr>
        <w:t>) (</w:t>
      </w:r>
      <w:proofErr w:type="spellStart"/>
      <w:r w:rsidRPr="009021D3">
        <w:rPr>
          <w:rFonts w:eastAsia="Times New Roman"/>
          <w:sz w:val="22"/>
          <w:szCs w:val="22"/>
        </w:rPr>
        <w:t>eg</w:t>
      </w:r>
      <w:proofErr w:type="spellEnd"/>
      <w:r w:rsidRPr="009021D3">
        <w:rPr>
          <w:rFonts w:eastAsia="Times New Roman"/>
          <w:sz w:val="22"/>
          <w:szCs w:val="22"/>
        </w:rPr>
        <w:t xml:space="preserve">, reading, interacting with family and friends, </w:t>
      </w:r>
      <w:proofErr w:type="spellStart"/>
      <w:r w:rsidRPr="009021D3">
        <w:rPr>
          <w:rFonts w:eastAsia="Times New Roman"/>
          <w:sz w:val="22"/>
          <w:szCs w:val="22"/>
        </w:rPr>
        <w:t>etc</w:t>
      </w:r>
      <w:proofErr w:type="spellEnd"/>
      <w:r w:rsidRPr="009021D3">
        <w:rPr>
          <w:rFonts w:eastAsia="Times New Roman"/>
          <w:sz w:val="22"/>
          <w:szCs w:val="22"/>
        </w:rPr>
        <w:t>) does not accelerate recovery and is therefore not advisable</w:t>
      </w:r>
      <w:r w:rsidRPr="009021D3">
        <w:rPr>
          <w:rFonts w:eastAsia="Times New Roman"/>
          <w:sz w:val="22"/>
          <w:szCs w:val="22"/>
        </w:rPr>
        <w:t>.</w:t>
      </w:r>
    </w:p>
    <w:p w14:paraId="0C868C55" w14:textId="77777777" w:rsidR="009021D3" w:rsidRDefault="009021D3" w:rsidP="009021D3">
      <w:pPr>
        <w:ind w:left="720"/>
        <w:rPr>
          <w:rFonts w:eastAsia="Times New Roman"/>
          <w:sz w:val="22"/>
          <w:szCs w:val="22"/>
        </w:rPr>
      </w:pPr>
    </w:p>
    <w:p w14:paraId="170FB805" w14:textId="29605D90" w:rsidR="009021D3" w:rsidRPr="009021D3" w:rsidRDefault="009021D3" w:rsidP="009021D3">
      <w:pPr>
        <w:pStyle w:val="ListParagraph"/>
        <w:numPr>
          <w:ilvl w:val="0"/>
          <w:numId w:val="1"/>
        </w:numPr>
        <w:rPr>
          <w:rFonts w:eastAsia="Times New Roman"/>
          <w:sz w:val="22"/>
          <w:szCs w:val="22"/>
        </w:rPr>
      </w:pPr>
      <w:r w:rsidRPr="009021D3">
        <w:rPr>
          <w:rFonts w:eastAsia="Times New Roman"/>
          <w:sz w:val="22"/>
          <w:szCs w:val="22"/>
        </w:rPr>
        <w:t>A</w:t>
      </w:r>
      <w:r w:rsidRPr="009021D3">
        <w:rPr>
          <w:rFonts w:eastAsia="Times New Roman"/>
          <w:sz w:val="22"/>
          <w:szCs w:val="22"/>
        </w:rPr>
        <w:t xml:space="preserve">fter an initial period of relative rest and symptom stabilization, patients should be encouraged to gradually resume normal daily activities (including screen time) as tolerated. This means that physical and cognitive activities can be progressively resumed at a pace that does not significantly worsen existing symptoms or generate new symptoms. </w:t>
      </w:r>
    </w:p>
    <w:p w14:paraId="6FA90679" w14:textId="77777777" w:rsidR="009021D3" w:rsidRDefault="009021D3" w:rsidP="009021D3">
      <w:pPr>
        <w:ind w:left="720"/>
        <w:rPr>
          <w:rFonts w:eastAsia="Times New Roman"/>
          <w:sz w:val="22"/>
          <w:szCs w:val="22"/>
        </w:rPr>
      </w:pPr>
    </w:p>
    <w:p w14:paraId="61006E20" w14:textId="22FFDD48" w:rsidR="009021D3" w:rsidRPr="009021D3" w:rsidRDefault="009021D3" w:rsidP="009021D3">
      <w:pPr>
        <w:pStyle w:val="ListParagraph"/>
        <w:numPr>
          <w:ilvl w:val="0"/>
          <w:numId w:val="1"/>
        </w:numPr>
        <w:rPr>
          <w:rFonts w:eastAsia="Times New Roman"/>
          <w:sz w:val="22"/>
          <w:szCs w:val="22"/>
        </w:rPr>
      </w:pPr>
      <w:r w:rsidRPr="009021D3">
        <w:rPr>
          <w:rFonts w:eastAsia="Times New Roman"/>
          <w:sz w:val="22"/>
          <w:szCs w:val="22"/>
        </w:rPr>
        <w:t>Environmental conditions with high sensory stimulation can also be gradually reintroduced. Clinicians may provide more detailed, structured guidance for a graduated activity progression with return to school,</w:t>
      </w:r>
      <w:r w:rsidRPr="009021D3">
        <w:rPr>
          <w:rFonts w:eastAsia="Times New Roman"/>
          <w:sz w:val="22"/>
          <w:szCs w:val="22"/>
        </w:rPr>
        <w:t xml:space="preserve"> </w:t>
      </w:r>
      <w:r w:rsidRPr="009021D3">
        <w:rPr>
          <w:rFonts w:eastAsia="Times New Roman"/>
          <w:sz w:val="22"/>
          <w:szCs w:val="22"/>
        </w:rPr>
        <w:t>22,26 sport22 (table 2), or military service.30 Students who are returning to school with residual symptoms may benefit from pragmatic accommodations</w:t>
      </w:r>
      <w:r w:rsidRPr="009021D3">
        <w:rPr>
          <w:rFonts w:eastAsia="Times New Roman"/>
          <w:sz w:val="22"/>
          <w:szCs w:val="22"/>
        </w:rPr>
        <w:t xml:space="preserve">, </w:t>
      </w:r>
      <w:r w:rsidRPr="009021D3">
        <w:rPr>
          <w:rFonts w:eastAsia="Times New Roman"/>
          <w:sz w:val="22"/>
          <w:szCs w:val="22"/>
        </w:rPr>
        <w:t>25 (table 3).</w:t>
      </w:r>
    </w:p>
    <w:p w14:paraId="1D9A3E7F" w14:textId="77777777" w:rsidR="009021D3" w:rsidRDefault="009021D3" w:rsidP="009021D3">
      <w:pPr>
        <w:ind w:left="720"/>
        <w:rPr>
          <w:rFonts w:eastAsia="Times New Roman"/>
          <w:sz w:val="22"/>
          <w:szCs w:val="22"/>
        </w:rPr>
      </w:pPr>
    </w:p>
    <w:p w14:paraId="5E4BE307" w14:textId="38CF943D" w:rsidR="009021D3" w:rsidRPr="009021D3" w:rsidRDefault="009021D3" w:rsidP="009021D3">
      <w:pPr>
        <w:pStyle w:val="ListParagraph"/>
        <w:numPr>
          <w:ilvl w:val="0"/>
          <w:numId w:val="1"/>
        </w:numPr>
        <w:rPr>
          <w:rFonts w:eastAsia="Times New Roman"/>
          <w:sz w:val="22"/>
          <w:szCs w:val="22"/>
        </w:rPr>
      </w:pPr>
      <w:proofErr w:type="spellStart"/>
      <w:r w:rsidRPr="009021D3">
        <w:rPr>
          <w:rFonts w:eastAsia="Times New Roman"/>
          <w:sz w:val="22"/>
          <w:szCs w:val="22"/>
        </w:rPr>
        <w:t>mTBI</w:t>
      </w:r>
      <w:proofErr w:type="spellEnd"/>
      <w:r w:rsidRPr="009021D3">
        <w:rPr>
          <w:rFonts w:eastAsia="Times New Roman"/>
          <w:sz w:val="22"/>
          <w:szCs w:val="22"/>
        </w:rPr>
        <w:t xml:space="preserve"> symptoms that persist past the acute period (2 weeks for adults and 4 weeks for school-aged children and adolescents) should be attended to </w:t>
      </w:r>
      <w:r w:rsidRPr="009021D3">
        <w:rPr>
          <w:rFonts w:eastAsia="Times New Roman"/>
          <w:sz w:val="22"/>
          <w:szCs w:val="22"/>
        </w:rPr>
        <w:br/>
      </w:r>
    </w:p>
    <w:p w14:paraId="1648283C" w14:textId="77777777" w:rsidR="009021D3" w:rsidRDefault="009021D3" w:rsidP="009021D3">
      <w:pPr>
        <w:ind w:left="720"/>
        <w:rPr>
          <w:rFonts w:eastAsia="Times New Roman"/>
          <w:sz w:val="22"/>
          <w:szCs w:val="22"/>
        </w:rPr>
      </w:pPr>
    </w:p>
    <w:p w14:paraId="53C42255" w14:textId="77777777" w:rsidR="009021D3" w:rsidRDefault="009021D3" w:rsidP="009021D3">
      <w:pPr>
        <w:ind w:left="720"/>
        <w:rPr>
          <w:rFonts w:eastAsia="Times New Roman"/>
          <w:sz w:val="22"/>
          <w:szCs w:val="22"/>
        </w:rPr>
      </w:pPr>
    </w:p>
    <w:p w14:paraId="2FF5F2D6" w14:textId="77777777" w:rsidR="009021D3" w:rsidRDefault="009021D3" w:rsidP="009021D3">
      <w:pPr>
        <w:ind w:left="720"/>
        <w:rPr>
          <w:rFonts w:eastAsia="Times New Roman"/>
          <w:sz w:val="22"/>
          <w:szCs w:val="22"/>
        </w:rPr>
      </w:pPr>
    </w:p>
    <w:p w14:paraId="6CC2C1D4" w14:textId="77777777" w:rsidR="009021D3" w:rsidRDefault="009021D3" w:rsidP="009021D3">
      <w:pPr>
        <w:ind w:left="720"/>
        <w:rPr>
          <w:rFonts w:eastAsia="Times New Roman"/>
          <w:sz w:val="22"/>
          <w:szCs w:val="22"/>
        </w:rPr>
      </w:pPr>
    </w:p>
    <w:p w14:paraId="48C45522" w14:textId="77777777" w:rsidR="009021D3" w:rsidRDefault="009021D3" w:rsidP="009021D3">
      <w:pPr>
        <w:ind w:left="720"/>
        <w:rPr>
          <w:rFonts w:eastAsia="Times New Roman"/>
          <w:sz w:val="22"/>
          <w:szCs w:val="22"/>
        </w:rPr>
      </w:pPr>
    </w:p>
    <w:p w14:paraId="19617C81" w14:textId="77777777" w:rsidR="009021D3" w:rsidRDefault="009021D3" w:rsidP="009021D3">
      <w:pPr>
        <w:ind w:left="720"/>
        <w:rPr>
          <w:rFonts w:eastAsia="Times New Roman"/>
          <w:sz w:val="22"/>
          <w:szCs w:val="22"/>
        </w:rPr>
      </w:pPr>
    </w:p>
    <w:p w14:paraId="20E380B4" w14:textId="77777777" w:rsidR="009021D3" w:rsidRDefault="009021D3" w:rsidP="009021D3">
      <w:pPr>
        <w:ind w:left="720"/>
        <w:rPr>
          <w:rFonts w:eastAsia="Times New Roman"/>
          <w:sz w:val="22"/>
          <w:szCs w:val="22"/>
        </w:rPr>
      </w:pPr>
    </w:p>
    <w:p w14:paraId="25392712" w14:textId="77777777" w:rsidR="009021D3" w:rsidRDefault="009021D3" w:rsidP="009021D3">
      <w:pPr>
        <w:ind w:left="720"/>
        <w:rPr>
          <w:rFonts w:eastAsia="Times New Roman"/>
          <w:sz w:val="22"/>
          <w:szCs w:val="22"/>
        </w:rPr>
      </w:pPr>
    </w:p>
    <w:p w14:paraId="4125CD94" w14:textId="77777777" w:rsidR="009021D3" w:rsidRDefault="009021D3" w:rsidP="009021D3">
      <w:pPr>
        <w:ind w:left="720"/>
        <w:rPr>
          <w:rFonts w:eastAsia="Times New Roman"/>
          <w:sz w:val="22"/>
          <w:szCs w:val="22"/>
        </w:rPr>
      </w:pPr>
    </w:p>
    <w:p w14:paraId="29E64364" w14:textId="77777777" w:rsidR="009021D3" w:rsidRDefault="009021D3" w:rsidP="009021D3">
      <w:pPr>
        <w:ind w:left="720"/>
        <w:rPr>
          <w:rFonts w:eastAsia="Times New Roman"/>
          <w:sz w:val="22"/>
          <w:szCs w:val="22"/>
        </w:rPr>
      </w:pPr>
    </w:p>
    <w:p w14:paraId="74F121ED" w14:textId="77777777" w:rsidR="009021D3" w:rsidRDefault="009021D3" w:rsidP="009021D3">
      <w:pPr>
        <w:ind w:left="720"/>
        <w:rPr>
          <w:rFonts w:eastAsia="Times New Roman"/>
          <w:sz w:val="22"/>
          <w:szCs w:val="22"/>
        </w:rPr>
      </w:pPr>
    </w:p>
    <w:p w14:paraId="20ADA184" w14:textId="77777777" w:rsidR="009021D3" w:rsidRDefault="009021D3" w:rsidP="009021D3">
      <w:pPr>
        <w:ind w:left="720"/>
        <w:rPr>
          <w:rFonts w:eastAsia="Times New Roman"/>
          <w:sz w:val="22"/>
          <w:szCs w:val="22"/>
        </w:rPr>
      </w:pPr>
    </w:p>
    <w:p w14:paraId="4108B25D" w14:textId="77777777" w:rsidR="009021D3" w:rsidRDefault="009021D3" w:rsidP="009021D3">
      <w:pPr>
        <w:ind w:left="720"/>
        <w:rPr>
          <w:rFonts w:eastAsia="Times New Roman"/>
          <w:sz w:val="22"/>
          <w:szCs w:val="22"/>
        </w:rPr>
      </w:pPr>
    </w:p>
    <w:p w14:paraId="36D9B3F6" w14:textId="77777777" w:rsidR="009021D3" w:rsidRDefault="009021D3" w:rsidP="009021D3">
      <w:pPr>
        <w:ind w:left="720"/>
        <w:rPr>
          <w:rFonts w:eastAsia="Times New Roman"/>
          <w:sz w:val="22"/>
          <w:szCs w:val="22"/>
        </w:rPr>
      </w:pPr>
    </w:p>
    <w:p w14:paraId="3420ABE7" w14:textId="77777777" w:rsidR="009021D3" w:rsidRDefault="009021D3" w:rsidP="009021D3">
      <w:pPr>
        <w:ind w:left="720"/>
        <w:rPr>
          <w:rFonts w:eastAsia="Times New Roman"/>
          <w:sz w:val="22"/>
          <w:szCs w:val="22"/>
        </w:rPr>
      </w:pPr>
    </w:p>
    <w:p w14:paraId="1D110FF4" w14:textId="063C55E5" w:rsidR="009021D3" w:rsidRPr="009021D3" w:rsidRDefault="009021D3" w:rsidP="009021D3">
      <w:pPr>
        <w:rPr>
          <w:rFonts w:ascii="Times New Roman" w:eastAsia="Times New Roman" w:hAnsi="Times New Roman" w:cs="Times New Roman"/>
          <w:color w:val="1F1F1F"/>
        </w:rPr>
      </w:pPr>
      <w:r>
        <w:rPr>
          <w:rFonts w:ascii="Times New Roman" w:eastAsia="Times New Roman" w:hAnsi="Times New Roman" w:cs="Times New Roman"/>
          <w:color w:val="1F1F1F"/>
          <w:sz w:val="21"/>
          <w:szCs w:val="21"/>
        </w:rPr>
        <w:lastRenderedPageBreak/>
        <w:t>T</w:t>
      </w:r>
      <w:r w:rsidRPr="009021D3">
        <w:rPr>
          <w:rFonts w:ascii="Times New Roman" w:eastAsia="Times New Roman" w:hAnsi="Times New Roman" w:cs="Times New Roman"/>
          <w:color w:val="1F1F1F"/>
          <w:sz w:val="21"/>
          <w:szCs w:val="21"/>
        </w:rPr>
        <w:t>able 2</w:t>
      </w:r>
      <w:r w:rsidRPr="009021D3">
        <w:rPr>
          <w:rFonts w:ascii="Times New Roman" w:eastAsia="Times New Roman" w:hAnsi="Times New Roman" w:cs="Times New Roman"/>
          <w:color w:val="1F1F1F"/>
        </w:rPr>
        <w:t>. Return to play progression</w:t>
      </w:r>
      <w:bookmarkStart w:id="0" w:name="bbib22"/>
      <w:r w:rsidRPr="009021D3">
        <w:rPr>
          <w:rFonts w:ascii="Times New Roman" w:eastAsia="Times New Roman" w:hAnsi="Times New Roman" w:cs="Times New Roman"/>
          <w:color w:val="1F1F1F"/>
        </w:rPr>
        <w:fldChar w:fldCharType="begin"/>
      </w:r>
      <w:r w:rsidRPr="009021D3">
        <w:rPr>
          <w:rFonts w:ascii="Times New Roman" w:eastAsia="Times New Roman" w:hAnsi="Times New Roman" w:cs="Times New Roman"/>
          <w:color w:val="1F1F1F"/>
        </w:rPr>
        <w:instrText>HYPERLINK "https://www.sciencedirect.com/science/article/pii/S000399931931305X" \l "bib22"</w:instrText>
      </w:r>
      <w:r w:rsidRPr="009021D3">
        <w:rPr>
          <w:rFonts w:ascii="Times New Roman" w:eastAsia="Times New Roman" w:hAnsi="Times New Roman" w:cs="Times New Roman"/>
          <w:color w:val="1F1F1F"/>
        </w:rPr>
      </w:r>
      <w:r w:rsidRPr="009021D3">
        <w:rPr>
          <w:rFonts w:ascii="Times New Roman" w:eastAsia="Times New Roman" w:hAnsi="Times New Roman" w:cs="Times New Roman"/>
          <w:color w:val="1F1F1F"/>
        </w:rPr>
        <w:fldChar w:fldCharType="separate"/>
      </w:r>
      <w:r w:rsidRPr="009021D3">
        <w:rPr>
          <w:rFonts w:ascii="Times New Roman" w:eastAsia="Times New Roman" w:hAnsi="Times New Roman" w:cs="Times New Roman"/>
          <w:color w:val="0272B1"/>
          <w:sz w:val="18"/>
          <w:szCs w:val="18"/>
          <w:vertAlign w:val="superscript"/>
        </w:rPr>
        <w:t>22</w:t>
      </w:r>
      <w:r w:rsidRPr="009021D3">
        <w:rPr>
          <w:rFonts w:ascii="Times New Roman" w:eastAsia="Times New Roman" w:hAnsi="Times New Roman" w:cs="Times New Roman"/>
          <w:color w:val="1F1F1F"/>
        </w:rPr>
        <w:fldChar w:fldCharType="end"/>
      </w:r>
      <w:bookmarkEnd w:id="0"/>
    </w:p>
    <w:tbl>
      <w:tblPr>
        <w:tblW w:w="8450" w:type="dxa"/>
        <w:tblBorders>
          <w:top w:val="single" w:sz="6" w:space="0" w:color="8E8E8E"/>
          <w:bottom w:val="single" w:sz="6" w:space="0" w:color="8E8E8E"/>
        </w:tblBorders>
        <w:tblCellMar>
          <w:left w:w="0" w:type="dxa"/>
          <w:right w:w="0" w:type="dxa"/>
        </w:tblCellMar>
        <w:tblLook w:val="04A0" w:firstRow="1" w:lastRow="0" w:firstColumn="1" w:lastColumn="0" w:noHBand="0" w:noVBand="1"/>
      </w:tblPr>
      <w:tblGrid>
        <w:gridCol w:w="640"/>
        <w:gridCol w:w="1459"/>
        <w:gridCol w:w="3800"/>
        <w:gridCol w:w="2551"/>
      </w:tblGrid>
      <w:tr w:rsidR="009021D3" w:rsidRPr="009021D3" w14:paraId="1F762A77" w14:textId="77777777" w:rsidTr="009021D3">
        <w:trPr>
          <w:tblHeader/>
        </w:trPr>
        <w:tc>
          <w:tcPr>
            <w:tcW w:w="0" w:type="auto"/>
            <w:tcBorders>
              <w:bottom w:val="single" w:sz="6" w:space="0" w:color="8E8E8E"/>
              <w:right w:val="nil"/>
            </w:tcBorders>
            <w:tcMar>
              <w:top w:w="75" w:type="dxa"/>
              <w:left w:w="75" w:type="dxa"/>
              <w:bottom w:w="75" w:type="dxa"/>
              <w:right w:w="75" w:type="dxa"/>
            </w:tcMar>
            <w:hideMark/>
          </w:tcPr>
          <w:p w14:paraId="329DCCB2" w14:textId="77777777" w:rsidR="009021D3" w:rsidRPr="009021D3" w:rsidRDefault="009021D3" w:rsidP="009021D3">
            <w:pPr>
              <w:jc w:val="center"/>
              <w:rPr>
                <w:rFonts w:ascii="Times New Roman" w:eastAsia="Times New Roman" w:hAnsi="Times New Roman" w:cs="Times New Roman"/>
                <w:b/>
                <w:bCs/>
                <w:sz w:val="21"/>
                <w:szCs w:val="21"/>
              </w:rPr>
            </w:pPr>
            <w:r w:rsidRPr="009021D3">
              <w:rPr>
                <w:rFonts w:ascii="Times New Roman" w:eastAsia="Times New Roman" w:hAnsi="Times New Roman" w:cs="Times New Roman"/>
                <w:b/>
                <w:bCs/>
                <w:sz w:val="21"/>
                <w:szCs w:val="21"/>
              </w:rPr>
              <w:t>Stage</w:t>
            </w:r>
          </w:p>
        </w:tc>
        <w:tc>
          <w:tcPr>
            <w:tcW w:w="0" w:type="auto"/>
            <w:tcBorders>
              <w:bottom w:val="single" w:sz="6" w:space="0" w:color="8E8E8E"/>
              <w:right w:val="nil"/>
            </w:tcBorders>
            <w:tcMar>
              <w:top w:w="75" w:type="dxa"/>
              <w:left w:w="75" w:type="dxa"/>
              <w:bottom w:w="75" w:type="dxa"/>
              <w:right w:w="75" w:type="dxa"/>
            </w:tcMar>
            <w:hideMark/>
          </w:tcPr>
          <w:p w14:paraId="6AC2A652" w14:textId="77777777" w:rsidR="009021D3" w:rsidRPr="009021D3" w:rsidRDefault="009021D3" w:rsidP="009021D3">
            <w:pPr>
              <w:jc w:val="center"/>
              <w:rPr>
                <w:rFonts w:ascii="Times New Roman" w:eastAsia="Times New Roman" w:hAnsi="Times New Roman" w:cs="Times New Roman"/>
                <w:b/>
                <w:bCs/>
                <w:sz w:val="21"/>
                <w:szCs w:val="21"/>
              </w:rPr>
            </w:pPr>
            <w:r w:rsidRPr="009021D3">
              <w:rPr>
                <w:rFonts w:ascii="Times New Roman" w:eastAsia="Times New Roman" w:hAnsi="Times New Roman" w:cs="Times New Roman"/>
                <w:b/>
                <w:bCs/>
                <w:sz w:val="21"/>
                <w:szCs w:val="21"/>
              </w:rPr>
              <w:t>Aim</w:t>
            </w:r>
          </w:p>
        </w:tc>
        <w:tc>
          <w:tcPr>
            <w:tcW w:w="0" w:type="auto"/>
            <w:tcBorders>
              <w:bottom w:val="single" w:sz="6" w:space="0" w:color="8E8E8E"/>
              <w:right w:val="nil"/>
            </w:tcBorders>
            <w:tcMar>
              <w:top w:w="75" w:type="dxa"/>
              <w:left w:w="75" w:type="dxa"/>
              <w:bottom w:w="75" w:type="dxa"/>
              <w:right w:w="75" w:type="dxa"/>
            </w:tcMar>
            <w:hideMark/>
          </w:tcPr>
          <w:p w14:paraId="487399F0" w14:textId="77777777" w:rsidR="009021D3" w:rsidRPr="009021D3" w:rsidRDefault="009021D3" w:rsidP="009021D3">
            <w:pPr>
              <w:jc w:val="center"/>
              <w:rPr>
                <w:rFonts w:ascii="Times New Roman" w:eastAsia="Times New Roman" w:hAnsi="Times New Roman" w:cs="Times New Roman"/>
                <w:b/>
                <w:bCs/>
                <w:sz w:val="21"/>
                <w:szCs w:val="21"/>
              </w:rPr>
            </w:pPr>
            <w:r w:rsidRPr="009021D3">
              <w:rPr>
                <w:rFonts w:ascii="Times New Roman" w:eastAsia="Times New Roman" w:hAnsi="Times New Roman" w:cs="Times New Roman"/>
                <w:b/>
                <w:bCs/>
                <w:sz w:val="21"/>
                <w:szCs w:val="21"/>
              </w:rPr>
              <w:t>Activity</w:t>
            </w:r>
          </w:p>
        </w:tc>
        <w:tc>
          <w:tcPr>
            <w:tcW w:w="0" w:type="auto"/>
            <w:tcBorders>
              <w:bottom w:val="single" w:sz="6" w:space="0" w:color="8E8E8E"/>
              <w:right w:val="nil"/>
            </w:tcBorders>
            <w:tcMar>
              <w:top w:w="75" w:type="dxa"/>
              <w:left w:w="75" w:type="dxa"/>
              <w:bottom w:w="75" w:type="dxa"/>
              <w:right w:w="75" w:type="dxa"/>
            </w:tcMar>
            <w:hideMark/>
          </w:tcPr>
          <w:p w14:paraId="15E57996" w14:textId="77777777" w:rsidR="009021D3" w:rsidRPr="009021D3" w:rsidRDefault="009021D3" w:rsidP="009021D3">
            <w:pPr>
              <w:jc w:val="center"/>
              <w:rPr>
                <w:rFonts w:ascii="Times New Roman" w:eastAsia="Times New Roman" w:hAnsi="Times New Roman" w:cs="Times New Roman"/>
                <w:b/>
                <w:bCs/>
                <w:sz w:val="21"/>
                <w:szCs w:val="21"/>
              </w:rPr>
            </w:pPr>
            <w:r w:rsidRPr="009021D3">
              <w:rPr>
                <w:rFonts w:ascii="Times New Roman" w:eastAsia="Times New Roman" w:hAnsi="Times New Roman" w:cs="Times New Roman"/>
                <w:b/>
                <w:bCs/>
                <w:sz w:val="21"/>
                <w:szCs w:val="21"/>
              </w:rPr>
              <w:t>Goal of Each Step</w:t>
            </w:r>
          </w:p>
        </w:tc>
      </w:tr>
      <w:tr w:rsidR="009021D3" w:rsidRPr="009021D3" w14:paraId="43EA9751" w14:textId="77777777" w:rsidTr="009021D3">
        <w:tc>
          <w:tcPr>
            <w:tcW w:w="0" w:type="auto"/>
            <w:tcBorders>
              <w:bottom w:val="nil"/>
              <w:right w:val="nil"/>
            </w:tcBorders>
            <w:tcMar>
              <w:top w:w="75" w:type="dxa"/>
              <w:left w:w="75" w:type="dxa"/>
              <w:bottom w:w="75" w:type="dxa"/>
              <w:right w:w="75" w:type="dxa"/>
            </w:tcMar>
            <w:hideMark/>
          </w:tcPr>
          <w:p w14:paraId="1347C8D6"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1</w:t>
            </w:r>
          </w:p>
        </w:tc>
        <w:tc>
          <w:tcPr>
            <w:tcW w:w="0" w:type="auto"/>
            <w:tcBorders>
              <w:bottom w:val="nil"/>
              <w:right w:val="nil"/>
            </w:tcBorders>
            <w:tcMar>
              <w:top w:w="75" w:type="dxa"/>
              <w:left w:w="75" w:type="dxa"/>
              <w:bottom w:w="75" w:type="dxa"/>
              <w:right w:w="75" w:type="dxa"/>
            </w:tcMar>
            <w:hideMark/>
          </w:tcPr>
          <w:p w14:paraId="43F076A9"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Symptom-limited activity</w:t>
            </w:r>
          </w:p>
        </w:tc>
        <w:tc>
          <w:tcPr>
            <w:tcW w:w="0" w:type="auto"/>
            <w:tcBorders>
              <w:bottom w:val="nil"/>
              <w:right w:val="nil"/>
            </w:tcBorders>
            <w:tcMar>
              <w:top w:w="75" w:type="dxa"/>
              <w:left w:w="75" w:type="dxa"/>
              <w:bottom w:w="75" w:type="dxa"/>
              <w:right w:w="75" w:type="dxa"/>
            </w:tcMar>
            <w:hideMark/>
          </w:tcPr>
          <w:p w14:paraId="7B04FEB8"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Usual daily activities that do not provoke symptoms</w:t>
            </w:r>
          </w:p>
        </w:tc>
        <w:tc>
          <w:tcPr>
            <w:tcW w:w="0" w:type="auto"/>
            <w:tcBorders>
              <w:bottom w:val="nil"/>
              <w:right w:val="nil"/>
            </w:tcBorders>
            <w:tcMar>
              <w:top w:w="75" w:type="dxa"/>
              <w:left w:w="75" w:type="dxa"/>
              <w:bottom w:w="75" w:type="dxa"/>
              <w:right w:w="75" w:type="dxa"/>
            </w:tcMar>
            <w:hideMark/>
          </w:tcPr>
          <w:p w14:paraId="09ACC412"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Gradual reintroduction to school and work</w:t>
            </w:r>
          </w:p>
        </w:tc>
      </w:tr>
      <w:tr w:rsidR="009021D3" w:rsidRPr="009021D3" w14:paraId="0AFE1214" w14:textId="77777777" w:rsidTr="009021D3">
        <w:tc>
          <w:tcPr>
            <w:tcW w:w="0" w:type="auto"/>
            <w:tcBorders>
              <w:bottom w:val="nil"/>
              <w:right w:val="nil"/>
            </w:tcBorders>
            <w:tcMar>
              <w:top w:w="75" w:type="dxa"/>
              <w:left w:w="75" w:type="dxa"/>
              <w:bottom w:w="75" w:type="dxa"/>
              <w:right w:w="75" w:type="dxa"/>
            </w:tcMar>
            <w:hideMark/>
          </w:tcPr>
          <w:p w14:paraId="19BBE1C9"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2</w:t>
            </w:r>
          </w:p>
        </w:tc>
        <w:tc>
          <w:tcPr>
            <w:tcW w:w="0" w:type="auto"/>
            <w:tcBorders>
              <w:bottom w:val="nil"/>
              <w:right w:val="nil"/>
            </w:tcBorders>
            <w:tcMar>
              <w:top w:w="75" w:type="dxa"/>
              <w:left w:w="75" w:type="dxa"/>
              <w:bottom w:w="75" w:type="dxa"/>
              <w:right w:w="75" w:type="dxa"/>
            </w:tcMar>
            <w:hideMark/>
          </w:tcPr>
          <w:p w14:paraId="57D189F3"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Light aerobic exercise</w:t>
            </w:r>
          </w:p>
        </w:tc>
        <w:tc>
          <w:tcPr>
            <w:tcW w:w="0" w:type="auto"/>
            <w:tcBorders>
              <w:bottom w:val="nil"/>
              <w:right w:val="nil"/>
            </w:tcBorders>
            <w:tcMar>
              <w:top w:w="75" w:type="dxa"/>
              <w:left w:w="75" w:type="dxa"/>
              <w:bottom w:w="75" w:type="dxa"/>
              <w:right w:w="75" w:type="dxa"/>
            </w:tcMar>
            <w:hideMark/>
          </w:tcPr>
          <w:p w14:paraId="1CA61662"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Walking or stationary biking at slow to medium pace without resistance.</w:t>
            </w:r>
          </w:p>
        </w:tc>
        <w:tc>
          <w:tcPr>
            <w:tcW w:w="0" w:type="auto"/>
            <w:tcBorders>
              <w:bottom w:val="nil"/>
              <w:right w:val="nil"/>
            </w:tcBorders>
            <w:tcMar>
              <w:top w:w="75" w:type="dxa"/>
              <w:left w:w="75" w:type="dxa"/>
              <w:bottom w:w="75" w:type="dxa"/>
              <w:right w:w="75" w:type="dxa"/>
            </w:tcMar>
            <w:hideMark/>
          </w:tcPr>
          <w:p w14:paraId="2AB55EAE"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Increase heart rate</w:t>
            </w:r>
          </w:p>
        </w:tc>
      </w:tr>
      <w:tr w:rsidR="009021D3" w:rsidRPr="009021D3" w14:paraId="3335BE42" w14:textId="77777777" w:rsidTr="009021D3">
        <w:tc>
          <w:tcPr>
            <w:tcW w:w="0" w:type="auto"/>
            <w:tcBorders>
              <w:bottom w:val="nil"/>
              <w:right w:val="nil"/>
            </w:tcBorders>
            <w:tcMar>
              <w:top w:w="75" w:type="dxa"/>
              <w:left w:w="75" w:type="dxa"/>
              <w:bottom w:w="75" w:type="dxa"/>
              <w:right w:w="75" w:type="dxa"/>
            </w:tcMar>
            <w:hideMark/>
          </w:tcPr>
          <w:p w14:paraId="50084D13"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3</w:t>
            </w:r>
          </w:p>
        </w:tc>
        <w:tc>
          <w:tcPr>
            <w:tcW w:w="0" w:type="auto"/>
            <w:tcBorders>
              <w:bottom w:val="nil"/>
              <w:right w:val="nil"/>
            </w:tcBorders>
            <w:tcMar>
              <w:top w:w="75" w:type="dxa"/>
              <w:left w:w="75" w:type="dxa"/>
              <w:bottom w:w="75" w:type="dxa"/>
              <w:right w:w="75" w:type="dxa"/>
            </w:tcMar>
            <w:hideMark/>
          </w:tcPr>
          <w:p w14:paraId="6981BA80"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Sport-specific exercise</w:t>
            </w:r>
          </w:p>
        </w:tc>
        <w:tc>
          <w:tcPr>
            <w:tcW w:w="0" w:type="auto"/>
            <w:tcBorders>
              <w:bottom w:val="nil"/>
              <w:right w:val="nil"/>
            </w:tcBorders>
            <w:tcMar>
              <w:top w:w="75" w:type="dxa"/>
              <w:left w:w="75" w:type="dxa"/>
              <w:bottom w:w="75" w:type="dxa"/>
              <w:right w:w="75" w:type="dxa"/>
            </w:tcMar>
            <w:hideMark/>
          </w:tcPr>
          <w:p w14:paraId="30DCB038"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Aerobic exercises such as running, sprinting, skating. Sport-specific warm-up and light drills. No head impact activities</w:t>
            </w:r>
          </w:p>
        </w:tc>
        <w:tc>
          <w:tcPr>
            <w:tcW w:w="0" w:type="auto"/>
            <w:tcBorders>
              <w:bottom w:val="nil"/>
              <w:right w:val="nil"/>
            </w:tcBorders>
            <w:tcMar>
              <w:top w:w="75" w:type="dxa"/>
              <w:left w:w="75" w:type="dxa"/>
              <w:bottom w:w="75" w:type="dxa"/>
              <w:right w:w="75" w:type="dxa"/>
            </w:tcMar>
            <w:hideMark/>
          </w:tcPr>
          <w:p w14:paraId="1D612784"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Increase motion</w:t>
            </w:r>
          </w:p>
        </w:tc>
      </w:tr>
      <w:tr w:rsidR="009021D3" w:rsidRPr="009021D3" w14:paraId="2810ACD5" w14:textId="77777777" w:rsidTr="009021D3">
        <w:tc>
          <w:tcPr>
            <w:tcW w:w="0" w:type="auto"/>
            <w:tcBorders>
              <w:bottom w:val="nil"/>
              <w:right w:val="nil"/>
            </w:tcBorders>
            <w:tcMar>
              <w:top w:w="75" w:type="dxa"/>
              <w:left w:w="75" w:type="dxa"/>
              <w:bottom w:w="75" w:type="dxa"/>
              <w:right w:w="75" w:type="dxa"/>
            </w:tcMar>
            <w:hideMark/>
          </w:tcPr>
          <w:p w14:paraId="2FD0B282"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4</w:t>
            </w:r>
          </w:p>
        </w:tc>
        <w:tc>
          <w:tcPr>
            <w:tcW w:w="0" w:type="auto"/>
            <w:tcBorders>
              <w:bottom w:val="nil"/>
              <w:right w:val="nil"/>
            </w:tcBorders>
            <w:tcMar>
              <w:top w:w="75" w:type="dxa"/>
              <w:left w:w="75" w:type="dxa"/>
              <w:bottom w:w="75" w:type="dxa"/>
              <w:right w:w="75" w:type="dxa"/>
            </w:tcMar>
            <w:hideMark/>
          </w:tcPr>
          <w:p w14:paraId="745CF878"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Noncontact training drills</w:t>
            </w:r>
          </w:p>
        </w:tc>
        <w:tc>
          <w:tcPr>
            <w:tcW w:w="0" w:type="auto"/>
            <w:tcBorders>
              <w:bottom w:val="nil"/>
              <w:right w:val="nil"/>
            </w:tcBorders>
            <w:tcMar>
              <w:top w:w="75" w:type="dxa"/>
              <w:left w:w="75" w:type="dxa"/>
              <w:bottom w:w="75" w:type="dxa"/>
              <w:right w:w="75" w:type="dxa"/>
            </w:tcMar>
            <w:hideMark/>
          </w:tcPr>
          <w:p w14:paraId="2DB50C3B"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 xml:space="preserve">More intense training drills. May start progressive resistance training and </w:t>
            </w:r>
            <w:proofErr w:type="gramStart"/>
            <w:r w:rsidRPr="009021D3">
              <w:rPr>
                <w:rFonts w:ascii="Times New Roman" w:eastAsia="Times New Roman" w:hAnsi="Times New Roman" w:cs="Times New Roman"/>
                <w:sz w:val="21"/>
                <w:szCs w:val="21"/>
              </w:rPr>
              <w:t>weight lifting</w:t>
            </w:r>
            <w:proofErr w:type="gramEnd"/>
          </w:p>
        </w:tc>
        <w:tc>
          <w:tcPr>
            <w:tcW w:w="0" w:type="auto"/>
            <w:tcBorders>
              <w:bottom w:val="nil"/>
              <w:right w:val="nil"/>
            </w:tcBorders>
            <w:tcMar>
              <w:top w:w="75" w:type="dxa"/>
              <w:left w:w="75" w:type="dxa"/>
              <w:bottom w:w="75" w:type="dxa"/>
              <w:right w:w="75" w:type="dxa"/>
            </w:tcMar>
            <w:hideMark/>
          </w:tcPr>
          <w:p w14:paraId="15A2F7FF"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Assess coordination, fitness, and concentration</w:t>
            </w:r>
          </w:p>
        </w:tc>
      </w:tr>
      <w:tr w:rsidR="009021D3" w:rsidRPr="009021D3" w14:paraId="65E10837" w14:textId="77777777" w:rsidTr="009021D3">
        <w:tc>
          <w:tcPr>
            <w:tcW w:w="0" w:type="auto"/>
            <w:tcBorders>
              <w:bottom w:val="nil"/>
              <w:right w:val="nil"/>
            </w:tcBorders>
            <w:tcMar>
              <w:top w:w="75" w:type="dxa"/>
              <w:left w:w="75" w:type="dxa"/>
              <w:bottom w:w="75" w:type="dxa"/>
              <w:right w:w="75" w:type="dxa"/>
            </w:tcMar>
            <w:hideMark/>
          </w:tcPr>
          <w:p w14:paraId="22C32DE3"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5</w:t>
            </w:r>
          </w:p>
        </w:tc>
        <w:tc>
          <w:tcPr>
            <w:tcW w:w="0" w:type="auto"/>
            <w:tcBorders>
              <w:bottom w:val="nil"/>
              <w:right w:val="nil"/>
            </w:tcBorders>
            <w:tcMar>
              <w:top w:w="75" w:type="dxa"/>
              <w:left w:w="75" w:type="dxa"/>
              <w:bottom w:w="75" w:type="dxa"/>
              <w:right w:w="75" w:type="dxa"/>
            </w:tcMar>
            <w:hideMark/>
          </w:tcPr>
          <w:p w14:paraId="34C43462"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Full contact practice</w:t>
            </w:r>
          </w:p>
        </w:tc>
        <w:tc>
          <w:tcPr>
            <w:tcW w:w="0" w:type="auto"/>
            <w:tcBorders>
              <w:bottom w:val="nil"/>
              <w:right w:val="nil"/>
            </w:tcBorders>
            <w:tcMar>
              <w:top w:w="75" w:type="dxa"/>
              <w:left w:w="75" w:type="dxa"/>
              <w:bottom w:w="75" w:type="dxa"/>
              <w:right w:w="75" w:type="dxa"/>
            </w:tcMar>
            <w:hideMark/>
          </w:tcPr>
          <w:p w14:paraId="661A620D"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Participate in normal training activities including scrimmaging</w:t>
            </w:r>
          </w:p>
        </w:tc>
        <w:tc>
          <w:tcPr>
            <w:tcW w:w="0" w:type="auto"/>
            <w:tcBorders>
              <w:bottom w:val="nil"/>
              <w:right w:val="nil"/>
            </w:tcBorders>
            <w:tcMar>
              <w:top w:w="75" w:type="dxa"/>
              <w:left w:w="75" w:type="dxa"/>
              <w:bottom w:w="75" w:type="dxa"/>
              <w:right w:w="75" w:type="dxa"/>
            </w:tcMar>
            <w:hideMark/>
          </w:tcPr>
          <w:p w14:paraId="1D306D62" w14:textId="77777777" w:rsidR="009021D3" w:rsidRPr="009021D3" w:rsidRDefault="009021D3" w:rsidP="009021D3">
            <w:pPr>
              <w:rPr>
                <w:rFonts w:ascii="Times New Roman" w:eastAsia="Times New Roman" w:hAnsi="Times New Roman" w:cs="Times New Roman"/>
                <w:sz w:val="21"/>
                <w:szCs w:val="21"/>
              </w:rPr>
            </w:pPr>
            <w:r w:rsidRPr="009021D3">
              <w:rPr>
                <w:rFonts w:ascii="Times New Roman" w:eastAsia="Times New Roman" w:hAnsi="Times New Roman" w:cs="Times New Roman"/>
                <w:sz w:val="21"/>
                <w:szCs w:val="21"/>
              </w:rPr>
              <w:t>Restore confidence and assess functional skills by coaching staff</w:t>
            </w:r>
          </w:p>
        </w:tc>
      </w:tr>
      <w:tr w:rsidR="009021D3" w:rsidRPr="009021D3" w14:paraId="22125A5E" w14:textId="77777777" w:rsidTr="009021D3">
        <w:tc>
          <w:tcPr>
            <w:tcW w:w="0" w:type="auto"/>
            <w:tcBorders>
              <w:bottom w:val="nil"/>
              <w:right w:val="nil"/>
            </w:tcBorders>
            <w:tcMar>
              <w:top w:w="75" w:type="dxa"/>
              <w:left w:w="75" w:type="dxa"/>
              <w:bottom w:w="75" w:type="dxa"/>
              <w:right w:w="75" w:type="dxa"/>
            </w:tcMar>
            <w:hideMark/>
          </w:tcPr>
          <w:p w14:paraId="050507FE" w14:textId="77777777" w:rsidR="009021D3" w:rsidRPr="009021D3" w:rsidRDefault="009021D3" w:rsidP="009021D3">
            <w:pPr>
              <w:rPr>
                <w:rFonts w:ascii="Georgia" w:eastAsia="Times New Roman" w:hAnsi="Georgia" w:cs="Times New Roman"/>
                <w:color w:val="1F1F1F"/>
                <w:sz w:val="21"/>
                <w:szCs w:val="21"/>
              </w:rPr>
            </w:pPr>
            <w:r w:rsidRPr="009021D3">
              <w:rPr>
                <w:rFonts w:ascii="Georgia" w:eastAsia="Times New Roman" w:hAnsi="Georgia" w:cs="Times New Roman"/>
                <w:color w:val="1F1F1F"/>
                <w:sz w:val="21"/>
                <w:szCs w:val="21"/>
              </w:rPr>
              <w:t>6</w:t>
            </w:r>
          </w:p>
        </w:tc>
        <w:tc>
          <w:tcPr>
            <w:tcW w:w="0" w:type="auto"/>
            <w:tcBorders>
              <w:bottom w:val="nil"/>
              <w:right w:val="nil"/>
            </w:tcBorders>
            <w:tcMar>
              <w:top w:w="75" w:type="dxa"/>
              <w:left w:w="75" w:type="dxa"/>
              <w:bottom w:w="75" w:type="dxa"/>
              <w:right w:w="75" w:type="dxa"/>
            </w:tcMar>
            <w:hideMark/>
          </w:tcPr>
          <w:p w14:paraId="2D103EDE" w14:textId="77777777" w:rsidR="009021D3" w:rsidRPr="009021D3" w:rsidRDefault="009021D3" w:rsidP="009021D3">
            <w:pPr>
              <w:rPr>
                <w:rFonts w:ascii="Georgia" w:eastAsia="Times New Roman" w:hAnsi="Georgia" w:cs="Times New Roman"/>
                <w:color w:val="1F1F1F"/>
                <w:sz w:val="21"/>
                <w:szCs w:val="21"/>
              </w:rPr>
            </w:pPr>
            <w:r w:rsidRPr="009021D3">
              <w:rPr>
                <w:rFonts w:ascii="Georgia" w:eastAsia="Times New Roman" w:hAnsi="Georgia" w:cs="Times New Roman"/>
                <w:color w:val="1F1F1F"/>
                <w:sz w:val="21"/>
                <w:szCs w:val="21"/>
              </w:rPr>
              <w:t>Return to sport</w:t>
            </w:r>
          </w:p>
        </w:tc>
        <w:tc>
          <w:tcPr>
            <w:tcW w:w="0" w:type="auto"/>
            <w:tcBorders>
              <w:bottom w:val="nil"/>
              <w:right w:val="nil"/>
            </w:tcBorders>
            <w:tcMar>
              <w:top w:w="75" w:type="dxa"/>
              <w:left w:w="75" w:type="dxa"/>
              <w:bottom w:w="75" w:type="dxa"/>
              <w:right w:w="75" w:type="dxa"/>
            </w:tcMar>
            <w:hideMark/>
          </w:tcPr>
          <w:p w14:paraId="634888D6" w14:textId="77777777" w:rsidR="009021D3" w:rsidRPr="009021D3" w:rsidRDefault="009021D3" w:rsidP="009021D3">
            <w:pPr>
              <w:rPr>
                <w:rFonts w:ascii="Georgia" w:eastAsia="Times New Roman" w:hAnsi="Georgia" w:cs="Times New Roman"/>
                <w:color w:val="1F1F1F"/>
                <w:sz w:val="21"/>
                <w:szCs w:val="21"/>
              </w:rPr>
            </w:pPr>
            <w:r w:rsidRPr="009021D3">
              <w:rPr>
                <w:rFonts w:ascii="Georgia" w:eastAsia="Times New Roman" w:hAnsi="Georgia" w:cs="Times New Roman"/>
                <w:color w:val="1F1F1F"/>
                <w:sz w:val="21"/>
                <w:szCs w:val="21"/>
              </w:rPr>
              <w:t>Normal game play</w:t>
            </w:r>
          </w:p>
        </w:tc>
        <w:tc>
          <w:tcPr>
            <w:tcW w:w="0" w:type="auto"/>
            <w:vAlign w:val="center"/>
            <w:hideMark/>
          </w:tcPr>
          <w:p w14:paraId="70B670CD" w14:textId="77777777" w:rsidR="009021D3" w:rsidRPr="009021D3" w:rsidRDefault="009021D3" w:rsidP="009021D3">
            <w:pPr>
              <w:rPr>
                <w:rFonts w:ascii="Times New Roman" w:eastAsia="Times New Roman" w:hAnsi="Times New Roman" w:cs="Times New Roman"/>
                <w:sz w:val="20"/>
                <w:szCs w:val="20"/>
              </w:rPr>
            </w:pPr>
            <w:r w:rsidRPr="009021D3">
              <w:rPr>
                <w:rFonts w:ascii="Times New Roman" w:eastAsia="Times New Roman" w:hAnsi="Times New Roman" w:cs="Times New Roman"/>
              </w:rPr>
              <w:br/>
            </w:r>
          </w:p>
        </w:tc>
      </w:tr>
    </w:tbl>
    <w:p w14:paraId="45EF89CB" w14:textId="77777777" w:rsidR="009021D3" w:rsidRDefault="009021D3" w:rsidP="009021D3">
      <w:pPr>
        <w:rPr>
          <w:rFonts w:eastAsia="Times New Roman"/>
          <w:sz w:val="22"/>
          <w:szCs w:val="22"/>
        </w:rPr>
      </w:pPr>
    </w:p>
    <w:p w14:paraId="5CAD410B" w14:textId="77777777" w:rsidR="009021D3" w:rsidRDefault="009021D3" w:rsidP="009021D3">
      <w:pPr>
        <w:ind w:left="720"/>
        <w:rPr>
          <w:rFonts w:eastAsia="Times New Roman"/>
          <w:sz w:val="22"/>
          <w:szCs w:val="22"/>
        </w:rPr>
      </w:pPr>
    </w:p>
    <w:p w14:paraId="205172AA" w14:textId="5E8E226F" w:rsidR="009021D3" w:rsidRDefault="009021D3" w:rsidP="009021D3">
      <w:pPr>
        <w:rPr>
          <w:rFonts w:eastAsia="Times New Roman"/>
          <w:sz w:val="22"/>
          <w:szCs w:val="22"/>
        </w:rPr>
      </w:pPr>
    </w:p>
    <w:p w14:paraId="07CE16D7" w14:textId="77777777" w:rsidR="009021D3" w:rsidRDefault="009021D3" w:rsidP="009021D3">
      <w:pPr>
        <w:spacing w:after="240"/>
        <w:rPr>
          <w:rFonts w:eastAsia="Times New Roman"/>
          <w:sz w:val="22"/>
          <w:szCs w:val="22"/>
        </w:rPr>
      </w:pPr>
      <w:r w:rsidRPr="009021D3">
        <w:rPr>
          <w:rFonts w:eastAsia="Times New Roman"/>
          <w:sz w:val="22"/>
          <w:szCs w:val="22"/>
          <w:u w:val="single"/>
        </w:rPr>
        <w:t>Headaches</w:t>
      </w:r>
      <w:r>
        <w:rPr>
          <w:rFonts w:eastAsia="Times New Roman"/>
          <w:sz w:val="22"/>
          <w:szCs w:val="22"/>
          <w:u w:val="single"/>
        </w:rPr>
        <w:t>:</w:t>
      </w:r>
      <w:r>
        <w:rPr>
          <w:rFonts w:eastAsia="Times New Roman"/>
          <w:sz w:val="22"/>
          <w:szCs w:val="22"/>
        </w:rPr>
        <w:br/>
        <w:t>Posttraumatic headaches (</w:t>
      </w:r>
      <w:hyperlink r:id="rId10" w:history="1">
        <w:r>
          <w:rPr>
            <w:rStyle w:val="Hyperlink"/>
            <w:rFonts w:eastAsia="Times New Roman"/>
            <w:sz w:val="22"/>
            <w:szCs w:val="22"/>
          </w:rPr>
          <w:t>https://www.sciencedirect.com/topics/medicine-and-dentistry/posttraumatic-headache</w:t>
        </w:r>
      </w:hyperlink>
      <w:r>
        <w:rPr>
          <w:rFonts w:eastAsia="Times New Roman"/>
          <w:sz w:val="22"/>
          <w:szCs w:val="22"/>
        </w:rPr>
        <w:t>) Early management should include avoidance of fasting (skipping meals) and maintaining adequate hydration. During the immediate postinjury period, acetaminophen (</w:t>
      </w:r>
      <w:hyperlink r:id="rId11" w:history="1">
        <w:r>
          <w:rPr>
            <w:rStyle w:val="Hyperlink"/>
            <w:rFonts w:eastAsia="Times New Roman"/>
            <w:sz w:val="22"/>
            <w:szCs w:val="22"/>
          </w:rPr>
          <w:t>https://www.sciencedirect.com/topics/medicine-and-dentistry/paracetamol</w:t>
        </w:r>
      </w:hyperlink>
      <w:r>
        <w:rPr>
          <w:rFonts w:eastAsia="Times New Roman"/>
          <w:sz w:val="22"/>
          <w:szCs w:val="22"/>
        </w:rPr>
        <w:t>) may be preferred over</w:t>
      </w:r>
      <w:r>
        <w:rPr>
          <w:rFonts w:eastAsia="Times New Roman"/>
          <w:sz w:val="22"/>
          <w:szCs w:val="22"/>
        </w:rPr>
        <w:t xml:space="preserve"> </w:t>
      </w:r>
      <w:r>
        <w:rPr>
          <w:rFonts w:eastAsia="Times New Roman"/>
          <w:sz w:val="22"/>
          <w:szCs w:val="22"/>
        </w:rPr>
        <w:t>aspirin (</w:t>
      </w:r>
      <w:hyperlink r:id="rId12" w:history="1">
        <w:r>
          <w:rPr>
            <w:rStyle w:val="Hyperlink"/>
            <w:rFonts w:eastAsia="Times New Roman"/>
            <w:sz w:val="22"/>
            <w:szCs w:val="22"/>
          </w:rPr>
          <w:t>https://www.sciencedirect.com/topics/medicine-and-dentistry/acetylsalicylic-acid</w:t>
        </w:r>
      </w:hyperlink>
      <w:r>
        <w:rPr>
          <w:rFonts w:eastAsia="Times New Roman"/>
          <w:sz w:val="22"/>
          <w:szCs w:val="22"/>
        </w:rPr>
        <w:t>)</w:t>
      </w:r>
      <w:r>
        <w:rPr>
          <w:rFonts w:eastAsia="Times New Roman"/>
          <w:sz w:val="22"/>
          <w:szCs w:val="22"/>
        </w:rPr>
        <w:t xml:space="preserve"> </w:t>
      </w:r>
      <w:r>
        <w:rPr>
          <w:rFonts w:eastAsia="Times New Roman"/>
          <w:sz w:val="22"/>
          <w:szCs w:val="22"/>
        </w:rPr>
        <w:t>and certain other nonsteroidal anti-inflammatory agents that confer a slightly increased risk of hemorrhagic stroke.</w:t>
      </w:r>
    </w:p>
    <w:p w14:paraId="6FA8A58B" w14:textId="121AE4B6" w:rsidR="009021D3" w:rsidRDefault="009021D3" w:rsidP="009021D3">
      <w:pPr>
        <w:spacing w:after="240"/>
        <w:rPr>
          <w:rFonts w:eastAsia="Times New Roman"/>
          <w:sz w:val="22"/>
          <w:szCs w:val="22"/>
        </w:rPr>
      </w:pPr>
      <w:r w:rsidRPr="009021D3">
        <w:rPr>
          <w:rFonts w:eastAsia="Times New Roman"/>
          <w:sz w:val="22"/>
          <w:szCs w:val="22"/>
          <w:u w:val="single"/>
        </w:rPr>
        <w:t xml:space="preserve">Sleep </w:t>
      </w:r>
      <w:proofErr w:type="spellStart"/>
      <w:r w:rsidRPr="009021D3">
        <w:rPr>
          <w:rFonts w:eastAsia="Times New Roman"/>
          <w:sz w:val="22"/>
          <w:szCs w:val="22"/>
          <w:u w:val="single"/>
        </w:rPr>
        <w:t>disturbanc</w:t>
      </w:r>
      <w:r w:rsidRPr="009021D3">
        <w:rPr>
          <w:rFonts w:eastAsia="Times New Roman"/>
          <w:sz w:val="22"/>
          <w:szCs w:val="22"/>
          <w:u w:val="single"/>
        </w:rPr>
        <w:t>e:</w:t>
      </w:r>
      <w:proofErr w:type="spellEnd"/>
      <w:r>
        <w:rPr>
          <w:rFonts w:eastAsia="Times New Roman"/>
          <w:sz w:val="22"/>
          <w:szCs w:val="22"/>
        </w:rPr>
        <w:br/>
      </w:r>
      <w:proofErr w:type="spellStart"/>
      <w:r>
        <w:rPr>
          <w:rFonts w:eastAsia="Times New Roman"/>
          <w:sz w:val="22"/>
          <w:szCs w:val="22"/>
        </w:rPr>
        <w:t>Both</w:t>
      </w:r>
      <w:proofErr w:type="spellEnd"/>
      <w:r>
        <w:rPr>
          <w:rFonts w:eastAsia="Times New Roman"/>
          <w:sz w:val="22"/>
          <w:szCs w:val="22"/>
        </w:rPr>
        <w:t xml:space="preserve"> hypersomnia (</w:t>
      </w:r>
      <w:hyperlink r:id="rId13" w:history="1">
        <w:r>
          <w:rPr>
            <w:rStyle w:val="Hyperlink"/>
            <w:rFonts w:eastAsia="Times New Roman"/>
            <w:sz w:val="22"/>
            <w:szCs w:val="22"/>
          </w:rPr>
          <w:t>https://www.sciencedirect.com/topics/medicine-and-dentistry/kleine-levin-syndrome</w:t>
        </w:r>
      </w:hyperlink>
      <w:r>
        <w:rPr>
          <w:rFonts w:eastAsia="Times New Roman"/>
          <w:sz w:val="22"/>
          <w:szCs w:val="22"/>
        </w:rPr>
        <w:t xml:space="preserve">) and insomnia are common after </w:t>
      </w:r>
      <w:proofErr w:type="spellStart"/>
      <w:r>
        <w:rPr>
          <w:rFonts w:eastAsia="Times New Roman"/>
          <w:sz w:val="22"/>
          <w:szCs w:val="22"/>
        </w:rPr>
        <w:t>mTBI</w:t>
      </w:r>
      <w:proofErr w:type="spellEnd"/>
      <w:r>
        <w:rPr>
          <w:rFonts w:eastAsia="Times New Roman"/>
          <w:sz w:val="22"/>
          <w:szCs w:val="22"/>
        </w:rPr>
        <w:t>. The goal of treatment is to normalize the sleep-wake cycle. Initial management of sleep disturbance should include environmental and behavioral modifications, such as setting a regular nighttime sleep schedule, limiting daytime naps, and avoiding foods or substances that may have a stimulating effect4.</w:t>
      </w:r>
    </w:p>
    <w:p w14:paraId="4A2BD31E" w14:textId="77777777" w:rsidR="009021D3" w:rsidRDefault="009021D3"/>
    <w:sectPr w:rsidR="00902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D1E"/>
    <w:multiLevelType w:val="hybridMultilevel"/>
    <w:tmpl w:val="32568158"/>
    <w:lvl w:ilvl="0" w:tplc="4AA275D0">
      <w:numFmt w:val="bullet"/>
      <w:lvlText w:val="-"/>
      <w:lvlJc w:val="left"/>
      <w:pPr>
        <w:ind w:left="1080" w:hanging="360"/>
      </w:pPr>
      <w:rPr>
        <w:rFonts w:ascii="Aptos" w:eastAsia="Times New Roman"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929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D3"/>
    <w:rsid w:val="009021D3"/>
    <w:rsid w:val="00F0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D8FCD"/>
  <w15:chartTrackingRefBased/>
  <w15:docId w15:val="{C1D02E55-B3A2-4274-B79D-D3F5806F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1D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021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21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21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21D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021D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021D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21D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21D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21D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D3"/>
    <w:rPr>
      <w:rFonts w:eastAsiaTheme="majorEastAsia" w:cstheme="majorBidi"/>
      <w:color w:val="272727" w:themeColor="text1" w:themeTint="D8"/>
    </w:rPr>
  </w:style>
  <w:style w:type="paragraph" w:styleId="Title">
    <w:name w:val="Title"/>
    <w:basedOn w:val="Normal"/>
    <w:next w:val="Normal"/>
    <w:link w:val="TitleChar"/>
    <w:uiPriority w:val="10"/>
    <w:qFormat/>
    <w:rsid w:val="009021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D3"/>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21D3"/>
    <w:rPr>
      <w:i/>
      <w:iCs/>
      <w:color w:val="404040" w:themeColor="text1" w:themeTint="BF"/>
    </w:rPr>
  </w:style>
  <w:style w:type="paragraph" w:styleId="ListParagraph">
    <w:name w:val="List Paragraph"/>
    <w:basedOn w:val="Normal"/>
    <w:uiPriority w:val="34"/>
    <w:qFormat/>
    <w:rsid w:val="009021D3"/>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021D3"/>
    <w:rPr>
      <w:i/>
      <w:iCs/>
      <w:color w:val="0F4761" w:themeColor="accent1" w:themeShade="BF"/>
    </w:rPr>
  </w:style>
  <w:style w:type="paragraph" w:styleId="IntenseQuote">
    <w:name w:val="Intense Quote"/>
    <w:basedOn w:val="Normal"/>
    <w:next w:val="Normal"/>
    <w:link w:val="IntenseQuoteChar"/>
    <w:uiPriority w:val="30"/>
    <w:qFormat/>
    <w:rsid w:val="009021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021D3"/>
    <w:rPr>
      <w:i/>
      <w:iCs/>
      <w:color w:val="0F4761" w:themeColor="accent1" w:themeShade="BF"/>
    </w:rPr>
  </w:style>
  <w:style w:type="character" w:styleId="IntenseReference">
    <w:name w:val="Intense Reference"/>
    <w:basedOn w:val="DefaultParagraphFont"/>
    <w:uiPriority w:val="32"/>
    <w:qFormat/>
    <w:rsid w:val="009021D3"/>
    <w:rPr>
      <w:b/>
      <w:bCs/>
      <w:smallCaps/>
      <w:color w:val="0F4761" w:themeColor="accent1" w:themeShade="BF"/>
      <w:spacing w:val="5"/>
    </w:rPr>
  </w:style>
  <w:style w:type="character" w:styleId="Hyperlink">
    <w:name w:val="Hyperlink"/>
    <w:basedOn w:val="DefaultParagraphFont"/>
    <w:uiPriority w:val="99"/>
    <w:semiHidden/>
    <w:unhideWhenUsed/>
    <w:rsid w:val="009021D3"/>
    <w:rPr>
      <w:color w:val="0000FF"/>
      <w:u w:val="single"/>
    </w:rPr>
  </w:style>
  <w:style w:type="character" w:styleId="FollowedHyperlink">
    <w:name w:val="FollowedHyperlink"/>
    <w:basedOn w:val="DefaultParagraphFont"/>
    <w:uiPriority w:val="99"/>
    <w:semiHidden/>
    <w:unhideWhenUsed/>
    <w:rsid w:val="009021D3"/>
    <w:rPr>
      <w:color w:val="96607D" w:themeColor="followedHyperlink"/>
      <w:u w:val="single"/>
    </w:rPr>
  </w:style>
  <w:style w:type="paragraph" w:styleId="NormalWeb">
    <w:name w:val="Normal (Web)"/>
    <w:basedOn w:val="Normal"/>
    <w:uiPriority w:val="99"/>
    <w:semiHidden/>
    <w:unhideWhenUsed/>
    <w:rsid w:val="009021D3"/>
    <w:pPr>
      <w:spacing w:before="100" w:beforeAutospacing="1" w:after="100" w:afterAutospacing="1"/>
    </w:pPr>
    <w:rPr>
      <w:rFonts w:ascii="Times New Roman" w:eastAsia="Times New Roman" w:hAnsi="Times New Roman" w:cs="Times New Roman"/>
    </w:rPr>
  </w:style>
  <w:style w:type="character" w:customStyle="1" w:styleId="label">
    <w:name w:val="label"/>
    <w:basedOn w:val="DefaultParagraphFont"/>
    <w:rsid w:val="009021D3"/>
  </w:style>
  <w:style w:type="character" w:customStyle="1" w:styleId="anchor-text">
    <w:name w:val="anchor-text"/>
    <w:basedOn w:val="DefaultParagraphFont"/>
    <w:rsid w:val="0090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89567">
      <w:bodyDiv w:val="1"/>
      <w:marLeft w:val="0"/>
      <w:marRight w:val="0"/>
      <w:marTop w:val="0"/>
      <w:marBottom w:val="0"/>
      <w:divBdr>
        <w:top w:val="none" w:sz="0" w:space="0" w:color="auto"/>
        <w:left w:val="none" w:sz="0" w:space="0" w:color="auto"/>
        <w:bottom w:val="none" w:sz="0" w:space="0" w:color="auto"/>
        <w:right w:val="none" w:sz="0" w:space="0" w:color="auto"/>
      </w:divBdr>
    </w:div>
    <w:div w:id="2045518410">
      <w:bodyDiv w:val="1"/>
      <w:marLeft w:val="0"/>
      <w:marRight w:val="0"/>
      <w:marTop w:val="0"/>
      <w:marBottom w:val="0"/>
      <w:divBdr>
        <w:top w:val="none" w:sz="0" w:space="0" w:color="auto"/>
        <w:left w:val="none" w:sz="0" w:space="0" w:color="auto"/>
        <w:bottom w:val="none" w:sz="0" w:space="0" w:color="auto"/>
        <w:right w:val="none" w:sz="0" w:space="0" w:color="auto"/>
      </w:divBdr>
      <w:divsChild>
        <w:div w:id="151041395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0399931931305X" TargetMode="External"/><Relationship Id="rId13" Type="http://schemas.openxmlformats.org/officeDocument/2006/relationships/hyperlink" Target="https://www.sciencedirect.com/topics/medicine-and-dentistry/kleine-levin-syndr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direct.com/topics/medicine-and-dentistry/acetylsalicylic-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topics/medicine-and-dentistry/paracetam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ciencedirect.com/topics/medicine-and-dentistry/posttraumatic-headache" TargetMode="External"/><Relationship Id="rId4" Type="http://schemas.openxmlformats.org/officeDocument/2006/relationships/numbering" Target="numbering.xml"/><Relationship Id="rId9" Type="http://schemas.openxmlformats.org/officeDocument/2006/relationships/hyperlink" Target="https://www.sciencedirect.com/topics/medicine-and-dentistry/sensory-stimul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93F82A4C8EE4C9967EADE5CC80867" ma:contentTypeVersion="17" ma:contentTypeDescription="Create a new document." ma:contentTypeScope="" ma:versionID="a79b3317cd27041b3665edc4e2a6f6fd">
  <xsd:schema xmlns:xsd="http://www.w3.org/2001/XMLSchema" xmlns:xs="http://www.w3.org/2001/XMLSchema" xmlns:p="http://schemas.microsoft.com/office/2006/metadata/properties" xmlns:ns3="a7c9e88b-d44b-4712-8dd3-202915112086" xmlns:ns4="a7e2a0d1-cc4a-4124-bd7f-37c6692be039" targetNamespace="http://schemas.microsoft.com/office/2006/metadata/properties" ma:root="true" ma:fieldsID="311a5108f9c4503d0c8cd5e3755e1e0b" ns3:_="" ns4:_="">
    <xsd:import namespace="a7c9e88b-d44b-4712-8dd3-202915112086"/>
    <xsd:import namespace="a7e2a0d1-cc4a-4124-bd7f-37c6692be0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9e88b-d44b-4712-8dd3-2029151120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2a0d1-cc4a-4124-bd7f-37c6692be0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e2a0d1-cc4a-4124-bd7f-37c6692be039" xsi:nil="true"/>
  </documentManagement>
</p:properties>
</file>

<file path=customXml/itemProps1.xml><?xml version="1.0" encoding="utf-8"?>
<ds:datastoreItem xmlns:ds="http://schemas.openxmlformats.org/officeDocument/2006/customXml" ds:itemID="{1C83D49E-2A0C-44AF-BBAB-249918248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9e88b-d44b-4712-8dd3-202915112086"/>
    <ds:schemaRef ds:uri="a7e2a0d1-cc4a-4124-bd7f-37c6692be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69816-A703-4962-9AFE-48EA2FC5102E}">
  <ds:schemaRefs>
    <ds:schemaRef ds:uri="http://schemas.microsoft.com/sharepoint/v3/contenttype/forms"/>
  </ds:schemaRefs>
</ds:datastoreItem>
</file>

<file path=customXml/itemProps3.xml><?xml version="1.0" encoding="utf-8"?>
<ds:datastoreItem xmlns:ds="http://schemas.openxmlformats.org/officeDocument/2006/customXml" ds:itemID="{062D2149-B0BC-4879-AA84-77AEF49986F8}">
  <ds:schemaRef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a7c9e88b-d44b-4712-8dd3-202915112086"/>
    <ds:schemaRef ds:uri="a7e2a0d1-cc4a-4124-bd7f-37c6692be039"/>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2926</Characters>
  <Application>Microsoft Office Word</Application>
  <DocSecurity>0</DocSecurity>
  <Lines>106</Lines>
  <Paragraphs>37</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Jane DeTorres</dc:creator>
  <cp:keywords/>
  <dc:description/>
  <cp:lastModifiedBy>Tomi Jane DeTorres</cp:lastModifiedBy>
  <cp:revision>1</cp:revision>
  <dcterms:created xsi:type="dcterms:W3CDTF">2024-06-24T19:48:00Z</dcterms:created>
  <dcterms:modified xsi:type="dcterms:W3CDTF">2024-06-24T19:53:00Z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bca62d5e-59fc-42bd-ba6f-bc63238e4121</vt:lpwstr>
  </property>
  <property fmtid="{D5CDD505-2E9C-101B-9397-08002B2CF9AE}" pid="3" name="ContentTypeId">
    <vt:lpwstr>0x010100FB893F82A4C8EE4C9967EADE5CC80867</vt:lpwstr>
  </property>
</Properties>
</file>